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BDC18" w14:textId="57282F69" w:rsidR="00326011" w:rsidRDefault="008D0C3E">
      <w:r>
        <w:rPr>
          <w:noProof/>
        </w:rPr>
        <w:drawing>
          <wp:anchor distT="0" distB="0" distL="114300" distR="114300" simplePos="0" relativeHeight="251660288" behindDoc="1" locked="0" layoutInCell="1" allowOverlap="1" wp14:anchorId="14C1B9C1" wp14:editId="5B6E1C43">
            <wp:simplePos x="0" y="0"/>
            <wp:positionH relativeFrom="column">
              <wp:posOffset>266065</wp:posOffset>
            </wp:positionH>
            <wp:positionV relativeFrom="paragraph">
              <wp:posOffset>201930</wp:posOffset>
            </wp:positionV>
            <wp:extent cx="1066800" cy="1866900"/>
            <wp:effectExtent l="0" t="0" r="0" b="0"/>
            <wp:wrapNone/>
            <wp:docPr id="1566654281" name="Kuva 1" descr="Kuva, joka sisältää kohteen vaate, seisominen, animaatio, nivel&#10;&#10;Kuvaus luotu automaattisesti">
              <a:extLst xmlns:a="http://schemas.openxmlformats.org/drawingml/2006/main">
                <a:ext uri="{FF2B5EF4-FFF2-40B4-BE49-F238E27FC236}">
                  <a16:creationId xmlns:a16="http://schemas.microsoft.com/office/drawing/2014/main" id="{29E6A898-AC2E-3AA7-074C-86B599031C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1" descr="Kuva, joka sisältää kohteen vaate, seisominen, animaatio, nivel&#10;&#10;Kuvaus luotu automaattisesti">
                      <a:extLst>
                        <a:ext uri="{FF2B5EF4-FFF2-40B4-BE49-F238E27FC236}">
                          <a16:creationId xmlns:a16="http://schemas.microsoft.com/office/drawing/2014/main" id="{29E6A898-AC2E-3AA7-074C-86B599031C32}"/>
                        </a:ext>
                      </a:extLst>
                    </pic:cNvPr>
                    <pic:cNvPicPr>
                      <a:picLocks noChangeAspect="1"/>
                    </pic:cNvPicPr>
                  </pic:nvPicPr>
                  <pic:blipFill>
                    <a:blip r:embed="rId6"/>
                    <a:stretch>
                      <a:fillRect/>
                    </a:stretch>
                  </pic:blipFill>
                  <pic:spPr>
                    <a:xfrm>
                      <a:off x="0" y="0"/>
                      <a:ext cx="1066800" cy="1866900"/>
                    </a:xfrm>
                    <a:prstGeom prst="rect">
                      <a:avLst/>
                    </a:prstGeom>
                  </pic:spPr>
                </pic:pic>
              </a:graphicData>
            </a:graphic>
            <wp14:sizeRelH relativeFrom="page">
              <wp14:pctWidth>0</wp14:pctWidth>
            </wp14:sizeRelH>
            <wp14:sizeRelV relativeFrom="page">
              <wp14:pctHeight>0</wp14:pctHeight>
            </wp14:sizeRelV>
          </wp:anchor>
        </w:drawing>
      </w:r>
    </w:p>
    <w:p w14:paraId="7437EFA2" w14:textId="1A700979" w:rsidR="00326011" w:rsidRDefault="00452259">
      <w:pPr>
        <w:rPr>
          <w:b/>
          <w:bCs/>
          <w:sz w:val="72"/>
          <w:szCs w:val="72"/>
        </w:rPr>
      </w:pPr>
      <w:r>
        <w:t xml:space="preserve"> </w:t>
      </w:r>
      <w:r w:rsidR="00326011">
        <w:tab/>
      </w:r>
      <w:r w:rsidR="00326011">
        <w:tab/>
      </w:r>
      <w:r w:rsidR="00326011">
        <w:tab/>
      </w:r>
      <w:r w:rsidRPr="00452259">
        <w:rPr>
          <w:b/>
          <w:bCs/>
          <w:sz w:val="72"/>
          <w:szCs w:val="72"/>
        </w:rPr>
        <w:t>Vaikuttavuusraportit</w:t>
      </w:r>
    </w:p>
    <w:p w14:paraId="5A5F3567" w14:textId="74BB09A7" w:rsidR="00326011" w:rsidRDefault="008D0C3E">
      <w:pPr>
        <w:rPr>
          <w:b/>
          <w:bCs/>
          <w:sz w:val="72"/>
          <w:szCs w:val="72"/>
        </w:rPr>
      </w:pPr>
      <w:r>
        <w:rPr>
          <w:b/>
          <w:bCs/>
          <w:sz w:val="72"/>
          <w:szCs w:val="72"/>
        </w:rPr>
        <w:tab/>
      </w:r>
      <w:r>
        <w:rPr>
          <w:b/>
          <w:bCs/>
          <w:sz w:val="72"/>
          <w:szCs w:val="72"/>
        </w:rPr>
        <w:tab/>
      </w:r>
      <w:r>
        <w:rPr>
          <w:b/>
          <w:bCs/>
          <w:sz w:val="72"/>
          <w:szCs w:val="72"/>
        </w:rPr>
        <w:tab/>
      </w:r>
      <w:r>
        <w:rPr>
          <w:b/>
          <w:bCs/>
          <w:sz w:val="72"/>
          <w:szCs w:val="72"/>
        </w:rPr>
        <w:tab/>
      </w:r>
      <w:r>
        <w:rPr>
          <w:b/>
          <w:bCs/>
          <w:sz w:val="72"/>
          <w:szCs w:val="72"/>
        </w:rPr>
        <w:tab/>
      </w:r>
      <w:r>
        <w:rPr>
          <w:b/>
          <w:bCs/>
          <w:sz w:val="72"/>
          <w:szCs w:val="72"/>
        </w:rPr>
        <w:tab/>
      </w:r>
      <w:r>
        <w:rPr>
          <w:b/>
          <w:bCs/>
          <w:sz w:val="72"/>
          <w:szCs w:val="72"/>
        </w:rPr>
        <w:tab/>
      </w:r>
      <w:r>
        <w:rPr>
          <w:b/>
          <w:bCs/>
          <w:sz w:val="72"/>
          <w:szCs w:val="72"/>
        </w:rPr>
        <w:tab/>
      </w:r>
      <w:r>
        <w:rPr>
          <w:b/>
          <w:bCs/>
          <w:sz w:val="72"/>
          <w:szCs w:val="72"/>
        </w:rPr>
        <w:tab/>
      </w:r>
      <w:r>
        <w:rPr>
          <w:noProof/>
        </w:rPr>
        <w:drawing>
          <wp:inline distT="0" distB="0" distL="0" distR="0" wp14:anchorId="466E456D" wp14:editId="3B9778FF">
            <wp:extent cx="1391376" cy="350520"/>
            <wp:effectExtent l="0" t="0" r="0" b="0"/>
            <wp:docPr id="7" name="Kuva 6" descr="Kuva, joka sisältää kohteen teksti, Fontti, kuvakaappaus, Sähkönsininen&#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6" descr="Kuva, joka sisältää kohteen teksti, Fontti, kuvakaappaus, Sähkönsininen&#10;&#10;Tekoälyn generoima sisältö voi olla virheellistä."/>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1333" cy="368144"/>
                    </a:xfrm>
                    <a:prstGeom prst="rect">
                      <a:avLst/>
                    </a:prstGeom>
                    <a:noFill/>
                    <a:ln>
                      <a:noFill/>
                    </a:ln>
                  </pic:spPr>
                </pic:pic>
              </a:graphicData>
            </a:graphic>
          </wp:inline>
        </w:drawing>
      </w:r>
    </w:p>
    <w:p w14:paraId="1198B6D6" w14:textId="33EE551A" w:rsidR="001848A9" w:rsidRPr="00452259" w:rsidRDefault="000D1858">
      <w:pPr>
        <w:rPr>
          <w:b/>
          <w:bCs/>
          <w:sz w:val="72"/>
          <w:szCs w:val="72"/>
        </w:rPr>
      </w:pPr>
      <w:r>
        <w:rPr>
          <w:b/>
          <w:bCs/>
          <w:sz w:val="72"/>
          <w:szCs w:val="72"/>
        </w:rPr>
        <w:tab/>
      </w:r>
      <w:r w:rsidR="008D0C3E">
        <w:t> </w:t>
      </w:r>
    </w:p>
    <w:tbl>
      <w:tblPr>
        <w:tblStyle w:val="TaulukkoRuudukko"/>
        <w:tblW w:w="14619" w:type="dxa"/>
        <w:tblLook w:val="04A0" w:firstRow="1" w:lastRow="0" w:firstColumn="1" w:lastColumn="0" w:noHBand="0" w:noVBand="1"/>
      </w:tblPr>
      <w:tblGrid>
        <w:gridCol w:w="4821"/>
        <w:gridCol w:w="9798"/>
      </w:tblGrid>
      <w:tr w:rsidR="001848A9" w14:paraId="12337370" w14:textId="77777777" w:rsidTr="008D0C3E">
        <w:trPr>
          <w:trHeight w:val="1664"/>
        </w:trPr>
        <w:tc>
          <w:tcPr>
            <w:tcW w:w="4821" w:type="dxa"/>
            <w:shd w:val="clear" w:color="auto" w:fill="C1F0C7" w:themeFill="accent3" w:themeFillTint="33"/>
          </w:tcPr>
          <w:p w14:paraId="3CEF9EA6" w14:textId="33C65923" w:rsidR="00AC4B53" w:rsidRDefault="00AC4B53">
            <w:pPr>
              <w:rPr>
                <w:b/>
                <w:bCs/>
              </w:rPr>
            </w:pPr>
          </w:p>
          <w:p w14:paraId="6B0CDA4D" w14:textId="77777777" w:rsidR="00AC4B53" w:rsidRDefault="00AC4B53">
            <w:pPr>
              <w:rPr>
                <w:b/>
                <w:bCs/>
              </w:rPr>
            </w:pPr>
          </w:p>
          <w:p w14:paraId="48F7423F" w14:textId="7A8F6B1B" w:rsidR="001848A9" w:rsidRPr="001848A9" w:rsidRDefault="001848A9">
            <w:pPr>
              <w:rPr>
                <w:b/>
                <w:bCs/>
              </w:rPr>
            </w:pPr>
            <w:r w:rsidRPr="001848A9">
              <w:rPr>
                <w:b/>
                <w:bCs/>
              </w:rPr>
              <w:t>Nopeasti palveluun palanneet asiakkaat perusterveydenhuollossa, erikoissairaanhoidossa ja sosiaalihuollossa.</w:t>
            </w:r>
          </w:p>
          <w:p w14:paraId="57D7C5AF" w14:textId="77777777" w:rsidR="001848A9" w:rsidRDefault="001848A9"/>
          <w:p w14:paraId="25DE4C78" w14:textId="08B9C7A3" w:rsidR="001848A9" w:rsidRDefault="00AC4B53">
            <w:r>
              <w:t xml:space="preserve"> </w:t>
            </w:r>
          </w:p>
        </w:tc>
        <w:tc>
          <w:tcPr>
            <w:tcW w:w="9798" w:type="dxa"/>
          </w:tcPr>
          <w:p w14:paraId="26C789C9" w14:textId="3BD656DD" w:rsidR="00AC4B53" w:rsidRDefault="00AC4B53"/>
          <w:p w14:paraId="5C285436" w14:textId="3C0A26A7" w:rsidR="001848A9" w:rsidRDefault="001848A9">
            <w:r w:rsidRPr="001848A9">
              <w:t>Kyseessä on niin sanottu pyöröovi-ilmiöstä, jossa asiakas palaa toistuvasti palveluun. Raportin tarkoituksena on herättää keskustelua siitä, miksi palveluun palataan. Onko palvelu ollut vaikuttavaa, jos asiakas palaa nopeasti uudelleen saman syyn takia? Onko meidän mahdollista tunnistaa nämä asiakasryhmät ja ohjauksella ennakoida ja välttää palaaminen palveluun? Mikä on juurisyy palaamiselle?</w:t>
            </w:r>
          </w:p>
        </w:tc>
      </w:tr>
      <w:tr w:rsidR="001848A9" w14:paraId="57547969" w14:textId="77777777" w:rsidTr="008D0C3E">
        <w:trPr>
          <w:trHeight w:val="2823"/>
        </w:trPr>
        <w:tc>
          <w:tcPr>
            <w:tcW w:w="4821" w:type="dxa"/>
            <w:tcBorders>
              <w:bottom w:val="single" w:sz="4" w:space="0" w:color="auto"/>
            </w:tcBorders>
            <w:shd w:val="clear" w:color="auto" w:fill="C1F0C7" w:themeFill="accent3" w:themeFillTint="33"/>
          </w:tcPr>
          <w:p w14:paraId="3300DF0E" w14:textId="77777777" w:rsidR="00AC4B53" w:rsidRDefault="00AC4B53">
            <w:pPr>
              <w:rPr>
                <w:b/>
                <w:bCs/>
              </w:rPr>
            </w:pPr>
          </w:p>
          <w:p w14:paraId="46D663DB" w14:textId="77777777" w:rsidR="00AC4B53" w:rsidRDefault="00AC4B53">
            <w:pPr>
              <w:rPr>
                <w:b/>
                <w:bCs/>
              </w:rPr>
            </w:pPr>
          </w:p>
          <w:p w14:paraId="00B0B055" w14:textId="77777777" w:rsidR="00AC4B53" w:rsidRDefault="00AC4B53">
            <w:pPr>
              <w:rPr>
                <w:b/>
                <w:bCs/>
              </w:rPr>
            </w:pPr>
          </w:p>
          <w:p w14:paraId="0474ADD3" w14:textId="77777777" w:rsidR="00AC4B53" w:rsidRDefault="00AC4B53">
            <w:pPr>
              <w:rPr>
                <w:b/>
                <w:bCs/>
              </w:rPr>
            </w:pPr>
          </w:p>
          <w:p w14:paraId="7CA0A34D" w14:textId="156951D2" w:rsidR="001848A9" w:rsidRDefault="001848A9">
            <w:pPr>
              <w:rPr>
                <w:b/>
                <w:bCs/>
              </w:rPr>
            </w:pPr>
            <w:r w:rsidRPr="001848A9">
              <w:rPr>
                <w:b/>
                <w:bCs/>
              </w:rPr>
              <w:t>Paljon palveluja tarvitsevat asiakkaat terveydenhuollossa</w:t>
            </w:r>
          </w:p>
          <w:p w14:paraId="26249634" w14:textId="77777777" w:rsidR="00AC4B53" w:rsidRDefault="00AC4B53"/>
          <w:p w14:paraId="5F41EB15" w14:textId="77777777" w:rsidR="00AC4B53" w:rsidRDefault="00AC4B53"/>
          <w:p w14:paraId="3A59FAC1" w14:textId="77777777" w:rsidR="00AC4B53" w:rsidRDefault="00AC4B53"/>
          <w:p w14:paraId="5AE03EAB" w14:textId="28F5975B" w:rsidR="00AC4B53" w:rsidRDefault="00AC4B53"/>
        </w:tc>
        <w:tc>
          <w:tcPr>
            <w:tcW w:w="9798" w:type="dxa"/>
          </w:tcPr>
          <w:p w14:paraId="414795F7" w14:textId="77777777" w:rsidR="00AC4B53" w:rsidRDefault="00AC4B53"/>
          <w:p w14:paraId="0F6696C0" w14:textId="34A21A5F" w:rsidR="001848A9" w:rsidRDefault="001848A9">
            <w:r w:rsidRPr="001848A9">
              <w:t xml:space="preserve">Tämä on keskeinen kysymys palveluiden riittävyyden ja vaikuttavuuden näkökulmasta. Raportti osoittaa, missä palveluissa paljon palveluja käyttäviä asiakkaita on eniten. Pohdittavaksi jää, miten heidät voitaisiin tunnistaa ajoissa. Raportti nostaa esiin kysymyksiä yhteistyön rakenteista: onko toimintatavoista sovittu yhdessä, ovatko ne kaikkien tiedossa ja onko osaamista oikeissa paikoissa? Raportti haastaa </w:t>
            </w:r>
            <w:r w:rsidR="000D1858">
              <w:t xml:space="preserve">myös </w:t>
            </w:r>
            <w:r w:rsidRPr="001848A9">
              <w:t>pohtimaan, pystytäänkö asiakaita hoitamaan ja palvelemaan kerralla niin, että toistuva käyttö vältetään – tuottavasti, kustannusvaikuttavasti ja häiriökysyntää vähentäen. Lisäksi raportti luo mahdollisuuden tarkastella kuntien välisiä eroja ja sitä, miten yhteistyöllä voitaisiin vahvistaa asukkaiden omaa osallisuutta ja roolia hyvinvointinsa edistämisessä, ohjaten heitä optimaalisempien palvelujen piiriin.</w:t>
            </w:r>
          </w:p>
          <w:p w14:paraId="18808F1C" w14:textId="77777777" w:rsidR="00452259" w:rsidRDefault="00452259"/>
          <w:p w14:paraId="67D0FBB0" w14:textId="385F6E25" w:rsidR="00AC4B53" w:rsidRDefault="00AC4B53"/>
        </w:tc>
      </w:tr>
      <w:tr w:rsidR="001848A9" w14:paraId="08E14C81" w14:textId="77777777" w:rsidTr="008D0C3E">
        <w:trPr>
          <w:trHeight w:val="3209"/>
        </w:trPr>
        <w:tc>
          <w:tcPr>
            <w:tcW w:w="4821" w:type="dxa"/>
            <w:shd w:val="clear" w:color="auto" w:fill="C1F0C7" w:themeFill="accent3" w:themeFillTint="33"/>
          </w:tcPr>
          <w:p w14:paraId="5F731425" w14:textId="3D096209" w:rsidR="00AC4B53" w:rsidRDefault="00452259">
            <w:pPr>
              <w:rPr>
                <w:b/>
                <w:bCs/>
              </w:rPr>
            </w:pPr>
            <w:r w:rsidRPr="00AC4B53">
              <w:rPr>
                <w:b/>
                <w:bCs/>
              </w:rPr>
              <w:lastRenderedPageBreak/>
              <w:drawing>
                <wp:anchor distT="0" distB="0" distL="114300" distR="114300" simplePos="0" relativeHeight="251658240" behindDoc="0" locked="0" layoutInCell="1" allowOverlap="1" wp14:anchorId="39F0EA20" wp14:editId="1821000D">
                  <wp:simplePos x="0" y="0"/>
                  <wp:positionH relativeFrom="column">
                    <wp:posOffset>2114550</wp:posOffset>
                  </wp:positionH>
                  <wp:positionV relativeFrom="paragraph">
                    <wp:posOffset>104140</wp:posOffset>
                  </wp:positionV>
                  <wp:extent cx="701040" cy="1630045"/>
                  <wp:effectExtent l="0" t="0" r="3810" b="8255"/>
                  <wp:wrapSquare wrapText="bothSides"/>
                  <wp:docPr id="3" name="Kuva 2">
                    <a:extLst xmlns:a="http://schemas.openxmlformats.org/drawingml/2006/main">
                      <a:ext uri="{FF2B5EF4-FFF2-40B4-BE49-F238E27FC236}">
                        <a16:creationId xmlns:a16="http://schemas.microsoft.com/office/drawing/2014/main" id="{2DEE079E-84FF-B77E-0BF9-D9FB568E31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2">
                            <a:extLst>
                              <a:ext uri="{FF2B5EF4-FFF2-40B4-BE49-F238E27FC236}">
                                <a16:creationId xmlns:a16="http://schemas.microsoft.com/office/drawing/2014/main" id="{2DEE079E-84FF-B77E-0BF9-D9FB568E31A0}"/>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701040" cy="1630045"/>
                          </a:xfrm>
                          <a:prstGeom prst="rect">
                            <a:avLst/>
                          </a:prstGeom>
                        </pic:spPr>
                      </pic:pic>
                    </a:graphicData>
                  </a:graphic>
                </wp:anchor>
              </w:drawing>
            </w:r>
          </w:p>
          <w:p w14:paraId="4568AA30" w14:textId="5AE5422F" w:rsidR="00AC4B53" w:rsidRDefault="00AC4B53">
            <w:pPr>
              <w:rPr>
                <w:b/>
                <w:bCs/>
              </w:rPr>
            </w:pPr>
          </w:p>
          <w:p w14:paraId="084A6091" w14:textId="68AC3006" w:rsidR="00AC4B53" w:rsidRDefault="00AC4B53">
            <w:pPr>
              <w:rPr>
                <w:b/>
                <w:bCs/>
              </w:rPr>
            </w:pPr>
          </w:p>
          <w:p w14:paraId="1F6471E0" w14:textId="76ABD146" w:rsidR="00AC4B53" w:rsidRDefault="00AC4B53">
            <w:pPr>
              <w:rPr>
                <w:b/>
                <w:bCs/>
              </w:rPr>
            </w:pPr>
          </w:p>
          <w:p w14:paraId="377C998D" w14:textId="423653BE" w:rsidR="00452259" w:rsidRDefault="001848A9">
            <w:pPr>
              <w:rPr>
                <w:b/>
                <w:bCs/>
              </w:rPr>
            </w:pPr>
            <w:r w:rsidRPr="001848A9">
              <w:rPr>
                <w:b/>
                <w:bCs/>
              </w:rPr>
              <w:t>Monipalveluasiakkaat sosiaali- ja terveydenhuollossa</w:t>
            </w:r>
            <w:r w:rsidR="00AC4B53">
              <w:rPr>
                <w:b/>
                <w:bCs/>
              </w:rPr>
              <w:t xml:space="preserve">             </w:t>
            </w:r>
          </w:p>
          <w:p w14:paraId="5EC28F41" w14:textId="154617BD" w:rsidR="001848A9" w:rsidRDefault="00AC4B53">
            <w:r>
              <w:rPr>
                <w:b/>
                <w:bCs/>
              </w:rPr>
              <w:t xml:space="preserve">                    </w:t>
            </w:r>
          </w:p>
        </w:tc>
        <w:tc>
          <w:tcPr>
            <w:tcW w:w="9798" w:type="dxa"/>
          </w:tcPr>
          <w:p w14:paraId="5408357E" w14:textId="77777777" w:rsidR="00AC4B53" w:rsidRDefault="00AC4B53"/>
          <w:p w14:paraId="4BA45E9D" w14:textId="443E3F2E" w:rsidR="000D1858" w:rsidRDefault="001848A9">
            <w:r w:rsidRPr="001848A9">
              <w:t xml:space="preserve">Monipalveluasiakas -raportin tavoitteena on tunnistaa päällekkäiset palvelut ja arvioida, voidaanko toimintatapoja muuttamalla lisätä integraatiota sekä sujuvoittaa palvelupolkuja ja -ketjuja. Samalla on mahdollista tarkastella, onko palveluiden yhtäaikaisuus tarkoituksenmukaista ja tunnistetaanko monialaisen yhteistyön tarve eri toimijoiden kesken. Raportti pyrkii luomaan toimintamalleja yhteisasiakkuuksien tunnistamiseen </w:t>
            </w:r>
            <w:r w:rsidR="000D1858" w:rsidRPr="001848A9">
              <w:t>ja horisontaalisen</w:t>
            </w:r>
            <w:r w:rsidRPr="001848A9">
              <w:t xml:space="preserve"> integraatio</w:t>
            </w:r>
            <w:r w:rsidR="000D1858">
              <w:t>n vahvistamiseen</w:t>
            </w:r>
            <w:r w:rsidRPr="001848A9">
              <w:t>, monialaisen tiimityön kehittämi</w:t>
            </w:r>
            <w:r w:rsidR="000D1858">
              <w:t>seen</w:t>
            </w:r>
            <w:r w:rsidRPr="001848A9">
              <w:t xml:space="preserve"> sekä seuraamaan muutoksia monipalveluasiakkaiden määrissä ja palvelujen käytössä. Raportilla tuodaan esiin muun muassa yleisimmät palvelukombinaatiot, jotka tässä raportissa painottuivat sosiaalipalveluihin. </w:t>
            </w:r>
          </w:p>
          <w:p w14:paraId="60BC4E5A" w14:textId="79123C68" w:rsidR="00AC4B53" w:rsidRDefault="001848A9">
            <w:r w:rsidRPr="001848A9">
              <w:t xml:space="preserve"> </w:t>
            </w:r>
          </w:p>
          <w:p w14:paraId="5509E87C" w14:textId="77777777" w:rsidR="00452259" w:rsidRDefault="00452259"/>
          <w:p w14:paraId="68FE8FD8" w14:textId="6DB20024" w:rsidR="001848A9" w:rsidRDefault="001848A9">
            <w:r w:rsidRPr="001848A9">
              <w:t xml:space="preserve"> </w:t>
            </w:r>
          </w:p>
        </w:tc>
      </w:tr>
      <w:tr w:rsidR="001848A9" w14:paraId="079495F9" w14:textId="77777777" w:rsidTr="008D0C3E">
        <w:trPr>
          <w:trHeight w:val="2946"/>
        </w:trPr>
        <w:tc>
          <w:tcPr>
            <w:tcW w:w="4821" w:type="dxa"/>
            <w:shd w:val="clear" w:color="auto" w:fill="C1F0C7" w:themeFill="accent3" w:themeFillTint="33"/>
          </w:tcPr>
          <w:p w14:paraId="03554D9E" w14:textId="77777777" w:rsidR="00AC4B53" w:rsidRDefault="00AC4B53">
            <w:pPr>
              <w:rPr>
                <w:b/>
                <w:bCs/>
              </w:rPr>
            </w:pPr>
          </w:p>
          <w:p w14:paraId="6358F0AC" w14:textId="77777777" w:rsidR="00452259" w:rsidRDefault="00452259">
            <w:pPr>
              <w:rPr>
                <w:b/>
                <w:bCs/>
              </w:rPr>
            </w:pPr>
          </w:p>
          <w:p w14:paraId="15976B72" w14:textId="77777777" w:rsidR="000D1858" w:rsidRDefault="000D1858">
            <w:pPr>
              <w:rPr>
                <w:b/>
                <w:bCs/>
              </w:rPr>
            </w:pPr>
          </w:p>
          <w:p w14:paraId="76BA6328" w14:textId="77777777" w:rsidR="000D1858" w:rsidRDefault="000D1858">
            <w:pPr>
              <w:rPr>
                <w:b/>
                <w:bCs/>
              </w:rPr>
            </w:pPr>
          </w:p>
          <w:p w14:paraId="72128BF9" w14:textId="77777777" w:rsidR="000D1858" w:rsidRDefault="000D1858">
            <w:pPr>
              <w:rPr>
                <w:b/>
                <w:bCs/>
              </w:rPr>
            </w:pPr>
          </w:p>
          <w:p w14:paraId="4640AE14" w14:textId="6ED17825" w:rsidR="001848A9" w:rsidRDefault="008D0C3E">
            <w:r w:rsidRPr="00452259">
              <w:rPr>
                <w:b/>
                <w:bCs/>
              </w:rPr>
              <w:drawing>
                <wp:anchor distT="0" distB="0" distL="114300" distR="114300" simplePos="0" relativeHeight="251659264" behindDoc="0" locked="0" layoutInCell="1" allowOverlap="1" wp14:anchorId="4013809F" wp14:editId="5C5EC734">
                  <wp:simplePos x="0" y="0"/>
                  <wp:positionH relativeFrom="column">
                    <wp:posOffset>-781050</wp:posOffset>
                  </wp:positionH>
                  <wp:positionV relativeFrom="paragraph">
                    <wp:posOffset>900430</wp:posOffset>
                  </wp:positionV>
                  <wp:extent cx="992505" cy="1953260"/>
                  <wp:effectExtent l="0" t="0" r="0" b="8890"/>
                  <wp:wrapNone/>
                  <wp:docPr id="2" name="Kuva 1">
                    <a:extLst xmlns:a="http://schemas.openxmlformats.org/drawingml/2006/main">
                      <a:ext uri="{FF2B5EF4-FFF2-40B4-BE49-F238E27FC236}">
                        <a16:creationId xmlns:a16="http://schemas.microsoft.com/office/drawing/2014/main" id="{6E049FFF-6B0C-7709-3EC2-A89FCE31B8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1">
                            <a:extLst>
                              <a:ext uri="{FF2B5EF4-FFF2-40B4-BE49-F238E27FC236}">
                                <a16:creationId xmlns:a16="http://schemas.microsoft.com/office/drawing/2014/main" id="{6E049FFF-6B0C-7709-3EC2-A89FCE31B82E}"/>
                              </a:ext>
                            </a:extLst>
                          </pic:cNvPr>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992505" cy="1953260"/>
                          </a:xfrm>
                          <a:prstGeom prst="rect">
                            <a:avLst/>
                          </a:prstGeom>
                        </pic:spPr>
                      </pic:pic>
                    </a:graphicData>
                  </a:graphic>
                  <wp14:sizeRelH relativeFrom="page">
                    <wp14:pctWidth>0</wp14:pctWidth>
                  </wp14:sizeRelH>
                  <wp14:sizeRelV relativeFrom="page">
                    <wp14:pctHeight>0</wp14:pctHeight>
                  </wp14:sizeRelV>
                </wp:anchor>
              </w:drawing>
            </w:r>
            <w:r w:rsidR="001848A9" w:rsidRPr="001848A9">
              <w:rPr>
                <w:b/>
                <w:bCs/>
              </w:rPr>
              <w:t>Väestön hyvinvointi ja terveys</w:t>
            </w:r>
          </w:p>
        </w:tc>
        <w:tc>
          <w:tcPr>
            <w:tcW w:w="9798" w:type="dxa"/>
          </w:tcPr>
          <w:p w14:paraId="520371A7" w14:textId="77777777" w:rsidR="00452259" w:rsidRDefault="00452259"/>
          <w:p w14:paraId="45D1143A" w14:textId="6C447BC4" w:rsidR="001848A9" w:rsidRDefault="001848A9">
            <w:r w:rsidRPr="001848A9">
              <w:t>Aihetta lähestytään kahden teeman kautta: ensimmäinen osa tarkastelee kaatumisia ja lonkkamurtumia, jotka ovat yksi THL:n H</w:t>
            </w:r>
            <w:r w:rsidR="001C4FC2">
              <w:t>YTE</w:t>
            </w:r>
            <w:r w:rsidRPr="001848A9">
              <w:t>-kerroin indikaattoreista. Raportti esittää kunnittain lukumääriä kaatuneista, heidän kontakteistaan sekä lonkkamurtumiin liittyvistä osastojaksoista ja hoitopäivistä. Näiden muutosten seuraaminen mahdollistaa kuntouttavien toimenpiteiden vaikutusten arvioinnin ja tukee kuntien ennakoivien toimien, kuten kuntainfraan liittyvien parannusten suunnittelua. Toinen osa raportista tarkastelee elintapaohjausta. Siinä esitettään ohjausten lukumäärät OAB-</w:t>
            </w:r>
            <w:r w:rsidR="00F13F94">
              <w:t>koodien</w:t>
            </w:r>
            <w:r w:rsidRPr="001848A9">
              <w:t xml:space="preserve"> mukaisesti yksiköittäin, ikäryhmittäin ja henkilömäärien mukaan. Raporttia voidaan hyödyntää esimerkiksi H</w:t>
            </w:r>
            <w:r w:rsidR="001C4FC2">
              <w:t>YTE</w:t>
            </w:r>
            <w:r w:rsidRPr="001848A9">
              <w:t>-kertoimen tulosindikaattorien ennakoinnissa.</w:t>
            </w:r>
          </w:p>
          <w:p w14:paraId="3E9C449C" w14:textId="77777777" w:rsidR="00452259" w:rsidRDefault="00452259"/>
          <w:p w14:paraId="3A631E77" w14:textId="6F48AC35" w:rsidR="00452259" w:rsidRDefault="00452259"/>
        </w:tc>
      </w:tr>
      <w:tr w:rsidR="001848A9" w14:paraId="6611B21F" w14:textId="77777777" w:rsidTr="008D0C3E">
        <w:trPr>
          <w:trHeight w:val="2599"/>
        </w:trPr>
        <w:tc>
          <w:tcPr>
            <w:tcW w:w="4821" w:type="dxa"/>
            <w:shd w:val="clear" w:color="auto" w:fill="C1F0C7" w:themeFill="accent3" w:themeFillTint="33"/>
          </w:tcPr>
          <w:p w14:paraId="7957A963" w14:textId="6E9F516B" w:rsidR="00AC4B53" w:rsidRDefault="00AC4B53">
            <w:pPr>
              <w:rPr>
                <w:b/>
                <w:bCs/>
              </w:rPr>
            </w:pPr>
          </w:p>
          <w:p w14:paraId="28704AAF" w14:textId="5BF1F307" w:rsidR="00AC4B53" w:rsidRDefault="00AC4B53">
            <w:pPr>
              <w:rPr>
                <w:b/>
                <w:bCs/>
              </w:rPr>
            </w:pPr>
          </w:p>
          <w:p w14:paraId="1E467F37" w14:textId="3F2231F1" w:rsidR="00AC4B53" w:rsidRDefault="00AC4B53">
            <w:pPr>
              <w:rPr>
                <w:b/>
                <w:bCs/>
              </w:rPr>
            </w:pPr>
          </w:p>
          <w:p w14:paraId="69F9FE09" w14:textId="0347C6AC" w:rsidR="000D1858" w:rsidRDefault="000D1858">
            <w:pPr>
              <w:rPr>
                <w:b/>
                <w:bCs/>
              </w:rPr>
            </w:pPr>
          </w:p>
          <w:p w14:paraId="02529F0C" w14:textId="726775EE" w:rsidR="00452259" w:rsidRDefault="001848A9">
            <w:pPr>
              <w:rPr>
                <w:b/>
                <w:bCs/>
              </w:rPr>
            </w:pPr>
            <w:r w:rsidRPr="001848A9">
              <w:rPr>
                <w:b/>
                <w:bCs/>
              </w:rPr>
              <w:t xml:space="preserve">Strategiset järjestämisen </w:t>
            </w:r>
          </w:p>
          <w:p w14:paraId="40A3ABCE" w14:textId="27CFD051" w:rsidR="001848A9" w:rsidRDefault="00452259">
            <w:pPr>
              <w:rPr>
                <w:b/>
                <w:bCs/>
              </w:rPr>
            </w:pPr>
            <w:r>
              <w:rPr>
                <w:b/>
                <w:bCs/>
              </w:rPr>
              <w:t xml:space="preserve">        </w:t>
            </w:r>
            <w:r w:rsidR="001848A9" w:rsidRPr="001848A9">
              <w:rPr>
                <w:b/>
                <w:bCs/>
              </w:rPr>
              <w:t>kustannukset</w:t>
            </w:r>
          </w:p>
          <w:p w14:paraId="05F71BBC" w14:textId="245B4B79" w:rsidR="001848A9" w:rsidRDefault="001848A9">
            <w:pPr>
              <w:rPr>
                <w:b/>
                <w:bCs/>
              </w:rPr>
            </w:pPr>
          </w:p>
          <w:p w14:paraId="74D1F99B" w14:textId="7AA6CFB2" w:rsidR="001848A9" w:rsidRDefault="001848A9">
            <w:pPr>
              <w:rPr>
                <w:b/>
                <w:bCs/>
              </w:rPr>
            </w:pPr>
          </w:p>
          <w:p w14:paraId="507694DB" w14:textId="7E3598DF" w:rsidR="001848A9" w:rsidRPr="001848A9" w:rsidRDefault="001848A9">
            <w:pPr>
              <w:rPr>
                <w:b/>
                <w:bCs/>
              </w:rPr>
            </w:pPr>
          </w:p>
        </w:tc>
        <w:tc>
          <w:tcPr>
            <w:tcW w:w="9798" w:type="dxa"/>
          </w:tcPr>
          <w:p w14:paraId="0AEDD7C6" w14:textId="77777777" w:rsidR="00AC4B53" w:rsidRDefault="00AC4B53"/>
          <w:p w14:paraId="30D426CD" w14:textId="49495BAF" w:rsidR="00452259" w:rsidRDefault="001848A9">
            <w:r w:rsidRPr="001848A9">
              <w:t xml:space="preserve">Asiaa tarkastellaan raportilla asiakasnäkökulmasta, ei </w:t>
            </w:r>
            <w:r w:rsidR="000D1858">
              <w:t>ainoastaan</w:t>
            </w:r>
            <w:r w:rsidRPr="001848A9">
              <w:t xml:space="preserve"> kustannusten osalta.  Hyvinvointialueen palvelut jaotellaan raportilla vaativuuden mukaisesti kuuteen luokkaan. Raportin tarkoituksena on tarjota järjestäjälle väline toiminnan arviointiin suhteessa asetettuihin tavoitteisiin. </w:t>
            </w:r>
            <w:r w:rsidR="000D1858">
              <w:t>Raportin</w:t>
            </w:r>
            <w:r w:rsidRPr="001848A9">
              <w:t xml:space="preserve"> avulla voidaan tarkastella, ovatko raskaiden palveluiden asiakasmäärät ja kustannukset pienentyneet, onko ennaltaehkäisevän työn ja varhaisen tuen määrä kasvanut, onko palveluiden painopiste siirtynyt laitos- ja asumispalveluista avopainotteisiin palveluihin sekä ovatko perustason palvelut vahvistuneet. Raportti tukee strategista päätöksentekoa ja auttaa arvioimaan</w:t>
            </w:r>
            <w:r w:rsidR="00F13F94">
              <w:t xml:space="preserve"> </w:t>
            </w:r>
            <w:r w:rsidRPr="001848A9">
              <w:t>ohjautuvatko resurssit vaikuttavuuden kannalta oikeisiin kohteisiin.</w:t>
            </w:r>
            <w:r w:rsidR="00F13F94">
              <w:t xml:space="preserve"> </w:t>
            </w:r>
          </w:p>
          <w:p w14:paraId="70396CD9" w14:textId="406201DA" w:rsidR="00452259" w:rsidRDefault="00452259"/>
        </w:tc>
      </w:tr>
    </w:tbl>
    <w:p w14:paraId="29EFFF80" w14:textId="33B49610" w:rsidR="00F54942" w:rsidRDefault="008D0C3E">
      <w:r>
        <w:t>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drawing>
          <wp:inline distT="0" distB="0" distL="0" distR="0" wp14:anchorId="31EDA886" wp14:editId="6DED16FA">
            <wp:extent cx="1391376" cy="350520"/>
            <wp:effectExtent l="0" t="0" r="0" b="0"/>
            <wp:docPr id="1693841888" name="Kuva 6" descr="Kuva, joka sisältää kohteen teksti, Fontti, kuvakaappaus, Sähkönsininen&#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6" descr="Kuva, joka sisältää kohteen teksti, Fontti, kuvakaappaus, Sähkönsininen&#10;&#10;Tekoälyn generoima sisältö voi olla virheellistä."/>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1333" cy="368144"/>
                    </a:xfrm>
                    <a:prstGeom prst="rect">
                      <a:avLst/>
                    </a:prstGeom>
                    <a:noFill/>
                    <a:ln>
                      <a:noFill/>
                    </a:ln>
                  </pic:spPr>
                </pic:pic>
              </a:graphicData>
            </a:graphic>
          </wp:inline>
        </w:drawing>
      </w:r>
    </w:p>
    <w:sectPr w:rsidR="00F54942" w:rsidSect="001848A9">
      <w:pgSz w:w="16838" w:h="11906" w:orient="landscape"/>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5AD31" w14:textId="77777777" w:rsidR="00326011" w:rsidRDefault="00326011" w:rsidP="00326011">
      <w:pPr>
        <w:spacing w:after="0" w:line="240" w:lineRule="auto"/>
      </w:pPr>
      <w:r>
        <w:separator/>
      </w:r>
    </w:p>
  </w:endnote>
  <w:endnote w:type="continuationSeparator" w:id="0">
    <w:p w14:paraId="62A9A0F3" w14:textId="77777777" w:rsidR="00326011" w:rsidRDefault="00326011" w:rsidP="00326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196BE" w14:textId="77777777" w:rsidR="00326011" w:rsidRDefault="00326011" w:rsidP="00326011">
      <w:pPr>
        <w:spacing w:after="0" w:line="240" w:lineRule="auto"/>
      </w:pPr>
      <w:r>
        <w:separator/>
      </w:r>
    </w:p>
  </w:footnote>
  <w:footnote w:type="continuationSeparator" w:id="0">
    <w:p w14:paraId="64F91F87" w14:textId="77777777" w:rsidR="00326011" w:rsidRDefault="00326011" w:rsidP="003260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8A9"/>
    <w:rsid w:val="000D1858"/>
    <w:rsid w:val="001848A9"/>
    <w:rsid w:val="001C4FC2"/>
    <w:rsid w:val="00326011"/>
    <w:rsid w:val="00452259"/>
    <w:rsid w:val="00715050"/>
    <w:rsid w:val="008D0C3E"/>
    <w:rsid w:val="00936693"/>
    <w:rsid w:val="00AC4B53"/>
    <w:rsid w:val="00F13F94"/>
    <w:rsid w:val="00F145BF"/>
    <w:rsid w:val="00F5494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17225"/>
  <w15:chartTrackingRefBased/>
  <w15:docId w15:val="{82F2531F-D00A-44D9-B78F-4597EAE5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84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184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848A9"/>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848A9"/>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848A9"/>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848A9"/>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848A9"/>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848A9"/>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848A9"/>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848A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1848A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1848A9"/>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1848A9"/>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848A9"/>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848A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848A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848A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848A9"/>
    <w:rPr>
      <w:rFonts w:eastAsiaTheme="majorEastAsia" w:cstheme="majorBidi"/>
      <w:color w:val="272727" w:themeColor="text1" w:themeTint="D8"/>
    </w:rPr>
  </w:style>
  <w:style w:type="paragraph" w:styleId="Otsikko">
    <w:name w:val="Title"/>
    <w:basedOn w:val="Normaali"/>
    <w:next w:val="Normaali"/>
    <w:link w:val="OtsikkoChar"/>
    <w:uiPriority w:val="10"/>
    <w:qFormat/>
    <w:rsid w:val="00184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848A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848A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848A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848A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848A9"/>
    <w:rPr>
      <w:i/>
      <w:iCs/>
      <w:color w:val="404040" w:themeColor="text1" w:themeTint="BF"/>
    </w:rPr>
  </w:style>
  <w:style w:type="paragraph" w:styleId="Luettelokappale">
    <w:name w:val="List Paragraph"/>
    <w:basedOn w:val="Normaali"/>
    <w:uiPriority w:val="34"/>
    <w:qFormat/>
    <w:rsid w:val="001848A9"/>
    <w:pPr>
      <w:ind w:left="720"/>
      <w:contextualSpacing/>
    </w:pPr>
  </w:style>
  <w:style w:type="character" w:styleId="Voimakaskorostus">
    <w:name w:val="Intense Emphasis"/>
    <w:basedOn w:val="Kappaleenoletusfontti"/>
    <w:uiPriority w:val="21"/>
    <w:qFormat/>
    <w:rsid w:val="001848A9"/>
    <w:rPr>
      <w:i/>
      <w:iCs/>
      <w:color w:val="0F4761" w:themeColor="accent1" w:themeShade="BF"/>
    </w:rPr>
  </w:style>
  <w:style w:type="paragraph" w:styleId="Erottuvalainaus">
    <w:name w:val="Intense Quote"/>
    <w:basedOn w:val="Normaali"/>
    <w:next w:val="Normaali"/>
    <w:link w:val="ErottuvalainausChar"/>
    <w:uiPriority w:val="30"/>
    <w:qFormat/>
    <w:rsid w:val="00184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848A9"/>
    <w:rPr>
      <w:i/>
      <w:iCs/>
      <w:color w:val="0F4761" w:themeColor="accent1" w:themeShade="BF"/>
    </w:rPr>
  </w:style>
  <w:style w:type="character" w:styleId="Erottuvaviittaus">
    <w:name w:val="Intense Reference"/>
    <w:basedOn w:val="Kappaleenoletusfontti"/>
    <w:uiPriority w:val="32"/>
    <w:qFormat/>
    <w:rsid w:val="001848A9"/>
    <w:rPr>
      <w:b/>
      <w:bCs/>
      <w:smallCaps/>
      <w:color w:val="0F4761" w:themeColor="accent1" w:themeShade="BF"/>
      <w:spacing w:val="5"/>
    </w:rPr>
  </w:style>
  <w:style w:type="table" w:styleId="TaulukkoRuudukko">
    <w:name w:val="Table Grid"/>
    <w:basedOn w:val="Normaalitaulukko"/>
    <w:uiPriority w:val="39"/>
    <w:rsid w:val="00184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32601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26011"/>
  </w:style>
  <w:style w:type="paragraph" w:styleId="Alatunniste">
    <w:name w:val="footer"/>
    <w:basedOn w:val="Normaali"/>
    <w:link w:val="AlatunnisteChar"/>
    <w:uiPriority w:val="99"/>
    <w:unhideWhenUsed/>
    <w:rsid w:val="0032601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26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68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sv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sv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423</Words>
  <Characters>3434</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Tuija Multisilta</dc:creator>
  <cp:keywords/>
  <dc:description/>
  <cp:lastModifiedBy>Tuija Multisilta</cp:lastModifiedBy>
  <cp:revision>3</cp:revision>
  <dcterms:created xsi:type="dcterms:W3CDTF">2025-12-11T07:45:00Z</dcterms:created>
  <dcterms:modified xsi:type="dcterms:W3CDTF">2025-12-11T08:51:00Z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2025-12-11T08:47:57Z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f1fc3d0a-ee56-4f33-ab7c-c77444ca1078</vt:lpwstr>
  </property>
  <property fmtid="{D5CDD505-2E9C-101B-9397-08002B2CF9AE}" pid="7" name="MSIP_Label_defa4170-0d19-0005-0004-bc88714345d2_ActionId">
    <vt:lpwstr>dc3605e0-ef0d-46ba-a612-e47416a9211b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